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693420"/>
            <wp:effectExtent b="0" l="0" r="0" t="0"/>
            <wp:docPr descr="Кемеровский р-н(герб)" id="1026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мая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1230-п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изменении вида разрешенного использования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заявлением Комитета по управлению муниципальным имуществом Кемеровского муниципального округа от 21.04.2022                            № Вн-17-01/732, руководствуясь статьей 37 Градостроительного кодекса Российской Федерации, решением Совета народных депутатов Кемеровского муниципального района от 29.09.2015 № 497 «Об утверждении правил землепользования и застройки муниципального образования «Звездное сельское поселение»: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Земельному участку с кадастровым номером 42:04:0302001:506, площадью 680 кв. м, расположенному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Кемеровская область, Кемеровский район, Звездное сельское поселение, д. Креково, ул. Центральная, северо-восточнее дома № 5,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вид разрешенного использования с «садоводство» на «Ведение садоводства».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Комитету по управлению муниципальным имуществом Кемеровского муниципального округа (С.С. Гуськов) обеспечить государственный кадастровый учет изменений характеристик земельного участка, указанного в п. 1 настоящего постановления.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Муниципальному бюджетному учреждению «Редакция газеты «Заря» (А.В. Шеметова) опубликовать настоящее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(И.А. 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постановления возложить на                            первого заместителя главы Кемеровского муниципального округа                  Т.В. Коновалову.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Постановление вступает в силу с момента 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М.В. Коляденко</w:t>
      </w:r>
    </w:p>
    <w:sectPr>
      <w:pgSz w:h="16838" w:w="11906" w:orient="portrait"/>
      <w:pgMar w:bottom="142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nsNormal">
    <w:name w:val="ConsNormal"/>
    <w:next w:val="Con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tab_header">
    <w:name w:val="tab_header"/>
    <w:next w:val="tab_head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fo__info-item-text">
    <w:name w:val="info__info-item-text"/>
    <w:next w:val="info__info-item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grp365.ru/reestr?egrp=42:04:0308001: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pyuuZmh+F+zcIgz8+2ffN2C1jQ==">AMUW2mV2+FU35cCedzHm7aambr/sS7vrYOXm/+4At1U+auyCYQloYAsqTI/r17LwtMMjy+UR7CsMZM47qWwJhwg9YUOni7D4AidUm83YIEQijszXI7aC5J4=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2022-04-22T02:48:00Z</dcterms:created>
  <dc:creator>Галина Ивановна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