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DB1A0C" w:rsidRPr="007E6891" w:rsidRDefault="00DB1A0C" w:rsidP="007E6891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  <w:r w:rsidR="007E6891">
        <w:rPr>
          <w:u w:val="single"/>
        </w:rPr>
        <w:t xml:space="preserve"> </w:t>
      </w:r>
      <w:r w:rsidR="00450219" w:rsidRPr="00450219">
        <w:rPr>
          <w:u w:val="single"/>
        </w:rPr>
        <w:t>предоставлении разрешен</w:t>
      </w:r>
      <w:r w:rsidR="007E6891">
        <w:rPr>
          <w:u w:val="single"/>
        </w:rPr>
        <w:t xml:space="preserve">ия на отклонение от предельных </w:t>
      </w:r>
      <w:r w:rsidR="00450219" w:rsidRPr="00450219">
        <w:rPr>
          <w:u w:val="single"/>
        </w:rPr>
        <w:t xml:space="preserve">параметров разрешенного строительства, реконструкции объекта капитального строительства «Жилой дом» применительно к земельному участку с кадастровым номером 42:04:0219001:407, расположенному по адресу: </w:t>
      </w:r>
      <w:proofErr w:type="gramStart"/>
      <w:r w:rsidR="00450219" w:rsidRPr="00450219">
        <w:rPr>
          <w:u w:val="single"/>
        </w:rPr>
        <w:t xml:space="preserve">Кемеровская область, р-н Кемеровский, </w:t>
      </w:r>
      <w:bookmarkStart w:id="0" w:name="_GoBack"/>
      <w:bookmarkEnd w:id="0"/>
      <w:r w:rsidR="00450219" w:rsidRPr="00450219">
        <w:rPr>
          <w:u w:val="single"/>
        </w:rPr>
        <w:t xml:space="preserve">д. </w:t>
      </w:r>
      <w:proofErr w:type="spellStart"/>
      <w:r w:rsidR="00450219" w:rsidRPr="00450219">
        <w:rPr>
          <w:u w:val="single"/>
        </w:rPr>
        <w:t>Старочервово</w:t>
      </w:r>
      <w:proofErr w:type="spellEnd"/>
      <w:r w:rsidR="00450219" w:rsidRPr="00450219">
        <w:rPr>
          <w:u w:val="single"/>
        </w:rPr>
        <w:t>, ул. Набережная, 75 «б»</w:t>
      </w:r>
      <w:r w:rsidR="00640929" w:rsidRPr="00640929">
        <w:rPr>
          <w:u w:val="single"/>
        </w:rPr>
        <w:t xml:space="preserve"> </w:t>
      </w:r>
      <w:r w:rsidRPr="00CC2364">
        <w:rPr>
          <w:u w:val="single"/>
        </w:rPr>
        <w:t>(далее – Проект).</w:t>
      </w:r>
      <w:proofErr w:type="gramEnd"/>
    </w:p>
    <w:p w:rsidR="00DB1A0C" w:rsidRPr="00103314" w:rsidRDefault="00DB1A0C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450219">
        <w:rPr>
          <w:rFonts w:ascii="Times New Roman" w:hAnsi="Times New Roman"/>
          <w:sz w:val="24"/>
          <w:szCs w:val="24"/>
        </w:rPr>
        <w:t>Елыкаевское</w:t>
      </w:r>
      <w:proofErr w:type="spellEnd"/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219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6891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114</cp:revision>
  <cp:lastPrinted>2023-03-06T09:12:00Z</cp:lastPrinted>
  <dcterms:created xsi:type="dcterms:W3CDTF">2019-11-25T06:21:00Z</dcterms:created>
  <dcterms:modified xsi:type="dcterms:W3CDTF">2023-03-06T09:13:00Z</dcterms:modified>
</cp:coreProperties>
</file>